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E8" w:rsidRPr="009675E8" w:rsidRDefault="009675E8" w:rsidP="0060124B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u w:val="single"/>
          <w:lang w:val="es-AR"/>
        </w:rPr>
      </w:pPr>
    </w:p>
    <w:p w:rsidR="00D80279" w:rsidRPr="009675E8" w:rsidRDefault="00A26CDF" w:rsidP="009675E8">
      <w:pPr>
        <w:pStyle w:val="NormalWeb"/>
        <w:shd w:val="clear" w:color="auto" w:fill="FFFFFF"/>
        <w:rPr>
          <w:rFonts w:ascii="Arial" w:hAnsi="Arial" w:cs="Arial"/>
          <w:color w:val="000000"/>
          <w:u w:val="single"/>
          <w:lang w:val="es-AR"/>
        </w:rPr>
      </w:pPr>
      <w:r w:rsidRPr="009675E8">
        <w:rPr>
          <w:rFonts w:ascii="Arial" w:hAnsi="Arial" w:cs="Arial"/>
          <w:color w:val="000000"/>
          <w:u w:val="single"/>
          <w:lang w:val="es-AR"/>
        </w:rPr>
        <w:t>L</w:t>
      </w:r>
      <w:r w:rsidR="0060124B" w:rsidRPr="009675E8">
        <w:rPr>
          <w:rFonts w:ascii="Arial" w:hAnsi="Arial" w:cs="Arial"/>
          <w:color w:val="000000"/>
          <w:u w:val="single"/>
          <w:lang w:val="es-AR"/>
        </w:rPr>
        <w:t>a Suprema Corte de Justicia de la Provincia de Buenos Aires</w:t>
      </w:r>
      <w:r w:rsidRPr="009675E8">
        <w:rPr>
          <w:rFonts w:ascii="Arial" w:hAnsi="Arial" w:cs="Arial"/>
          <w:color w:val="000000"/>
          <w:u w:val="single"/>
          <w:lang w:val="es-AR"/>
        </w:rPr>
        <w:t xml:space="preserve"> confirmó la constitu</w:t>
      </w:r>
      <w:r w:rsidR="009675E8" w:rsidRPr="009675E8">
        <w:rPr>
          <w:rFonts w:ascii="Arial" w:hAnsi="Arial" w:cs="Arial"/>
          <w:color w:val="000000"/>
          <w:u w:val="single"/>
          <w:lang w:val="es-AR"/>
        </w:rPr>
        <w:t xml:space="preserve">cionalidad de la adhesión </w:t>
      </w:r>
      <w:r w:rsidRPr="009675E8">
        <w:rPr>
          <w:rFonts w:ascii="Arial" w:hAnsi="Arial" w:cs="Arial"/>
          <w:color w:val="000000"/>
          <w:u w:val="single"/>
          <w:lang w:val="es-AR"/>
        </w:rPr>
        <w:t>a la Ley de Riesgos de Trabajo 27348/17</w:t>
      </w:r>
    </w:p>
    <w:p w:rsidR="0060124B" w:rsidRPr="009675E8" w:rsidRDefault="0060124B" w:rsidP="0060124B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256772" w:rsidRPr="009675E8" w:rsidRDefault="00256772" w:rsidP="00256772">
      <w:pPr>
        <w:pStyle w:val="NormalWeb"/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60124B" w:rsidRPr="009675E8" w:rsidRDefault="006D478C" w:rsidP="00136C3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  <w:r>
        <w:rPr>
          <w:rFonts w:asciiTheme="minorHAnsi" w:hAnsiTheme="minorHAnsi" w:cs="Arial"/>
          <w:color w:val="000000"/>
          <w:sz w:val="22"/>
          <w:szCs w:val="22"/>
          <w:lang w:val="es-AR"/>
        </w:rPr>
        <w:t>La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CSPBA </w:t>
      </w:r>
      <w:r w:rsidR="0060124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confirmó la constitucionalidad de la Ley 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Provincial </w:t>
      </w:r>
      <w:r w:rsidR="0060124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14.997 de adhesión a la Ley 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Nacional </w:t>
      </w:r>
      <w:r w:rsidR="0060124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27.348 de Riesgos de Trabajo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.</w:t>
      </w:r>
    </w:p>
    <w:p w:rsidR="00256772" w:rsidRPr="009675E8" w:rsidRDefault="00256772" w:rsidP="00136C3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La decisión del alto tribunal provincial va en línea con los numerosos fallos con los que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tanto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la Corte Suprema de Justicia de la Nación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como muchas otras instancias judiciales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viene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n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avalando aspectos sustanciales de 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dicha Ley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.</w:t>
      </w:r>
    </w:p>
    <w:p w:rsidR="00C34ECD" w:rsidRPr="009675E8" w:rsidRDefault="00A26CDF" w:rsidP="00136C3A">
      <w:pPr>
        <w:pStyle w:val="NormalWeb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Sin embargo, respecto de la misma q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uedan aún por constituir los Cuerpos Médicos Forenses para dotar de mayor certidumbre al sistema de riesgos del trabajo.</w:t>
      </w:r>
    </w:p>
    <w:p w:rsidR="0060124B" w:rsidRPr="009675E8" w:rsidRDefault="0060124B" w:rsidP="0060124B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D80279" w:rsidRPr="009675E8" w:rsidRDefault="00D80279" w:rsidP="00D80279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Con 5 votos a favor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(Dres. Genoud, Kogan, Soria, Pettigiani y Torres)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y uno en contra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(Dr. De </w:t>
      </w:r>
      <w:proofErr w:type="spellStart"/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Lazzari</w:t>
      </w:r>
      <w:proofErr w:type="spellEnd"/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)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, la Suprema Corte de Justicia de Buenos Aires declaró el 13 de Mayo pasado la constitucionalidad de la Ley 14.997 de adhesión de la Provincia a la Ley 27.348 de Riesgos de Trabajo.</w:t>
      </w:r>
    </w:p>
    <w:p w:rsidR="00D80279" w:rsidRPr="009675E8" w:rsidRDefault="00D80279" w:rsidP="00D80279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D80279" w:rsidRPr="009675E8" w:rsidRDefault="00D80279" w:rsidP="00D80279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En los autos "</w:t>
      </w:r>
      <w:r w:rsidRPr="009675E8">
        <w:rPr>
          <w:rFonts w:asciiTheme="minorHAnsi" w:hAnsiTheme="minorHAnsi" w:cs="Arial"/>
          <w:i/>
          <w:iCs/>
          <w:color w:val="000000"/>
          <w:sz w:val="22"/>
          <w:szCs w:val="22"/>
          <w:lang w:val="es-AR"/>
        </w:rPr>
        <w:t xml:space="preserve">MARCHETTI, Jorge Gabriel c/ Fiscalía del Estado de la Pcia. </w:t>
      </w:r>
      <w:proofErr w:type="gramStart"/>
      <w:r w:rsidRPr="009675E8">
        <w:rPr>
          <w:rFonts w:asciiTheme="minorHAnsi" w:hAnsiTheme="minorHAnsi" w:cs="Arial"/>
          <w:i/>
          <w:iCs/>
          <w:color w:val="000000"/>
          <w:sz w:val="22"/>
          <w:szCs w:val="22"/>
          <w:lang w:val="es-AR"/>
        </w:rPr>
        <w:t>de</w:t>
      </w:r>
      <w:proofErr w:type="gramEnd"/>
      <w:r w:rsidRPr="009675E8">
        <w:rPr>
          <w:rFonts w:asciiTheme="minorHAnsi" w:hAnsiTheme="minorHAnsi" w:cs="Arial"/>
          <w:i/>
          <w:iCs/>
          <w:color w:val="000000"/>
          <w:sz w:val="22"/>
          <w:szCs w:val="22"/>
          <w:lang w:val="es-AR"/>
        </w:rPr>
        <w:t xml:space="preserve"> Bs.As. Accidente de trabajo-acción especial", </w:t>
      </w:r>
      <w:r w:rsidRPr="009675E8">
        <w:rPr>
          <w:rFonts w:asciiTheme="minorHAnsi" w:hAnsiTheme="minorHAnsi" w:cs="Arial"/>
          <w:iCs/>
          <w:color w:val="000000"/>
          <w:sz w:val="22"/>
          <w:szCs w:val="22"/>
          <w:lang w:val="es-AR"/>
        </w:rPr>
        <w:t>referido</w:t>
      </w:r>
      <w:r w:rsidR="009A1C4C" w:rsidRPr="009675E8">
        <w:rPr>
          <w:rFonts w:asciiTheme="minorHAnsi" w:hAnsiTheme="minorHAnsi" w:cs="Arial"/>
          <w:iCs/>
          <w:color w:val="000000"/>
          <w:sz w:val="22"/>
          <w:szCs w:val="22"/>
          <w:lang w:val="es-AR"/>
        </w:rPr>
        <w:t>s</w:t>
      </w:r>
      <w:r w:rsidRPr="009675E8">
        <w:rPr>
          <w:rFonts w:asciiTheme="minorHAnsi" w:hAnsiTheme="minorHAnsi" w:cs="Arial"/>
          <w:iCs/>
          <w:color w:val="000000"/>
          <w:sz w:val="22"/>
          <w:szCs w:val="22"/>
          <w:lang w:val="es-AR"/>
        </w:rPr>
        <w:t xml:space="preserve"> a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un </w:t>
      </w:r>
      <w:r w:rsidR="009675E8">
        <w:rPr>
          <w:rFonts w:asciiTheme="minorHAnsi" w:hAnsiTheme="minorHAnsi" w:cs="Arial"/>
          <w:color w:val="000000"/>
          <w:sz w:val="22"/>
          <w:szCs w:val="22"/>
          <w:lang w:val="es-AR"/>
        </w:rPr>
        <w:t>siniestro laboral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de un oficial de policía ocurrido en febrero de 2016, la Suprema Corte provincial revocó la sentencia del Tribunal de Trabajo N° 1 de Quilmes que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primeramente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había declarado inconstitucional la Ley 14.997 y asumido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la competencia para intervenir y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luego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había declarado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la inconstitucionalidad de los arts. 21, 22 y 46 de la L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ey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R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iesgos de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T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rabajo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.</w:t>
      </w:r>
      <w:r w:rsidRPr="009675E8">
        <w:rPr>
          <w:rFonts w:asciiTheme="minorHAnsi" w:hAnsiTheme="minorHAnsi" w:cs="Arial"/>
          <w:color w:val="000000"/>
          <w:sz w:val="22"/>
          <w:szCs w:val="22"/>
          <w:shd w:val="clear" w:color="auto" w:fill="FFFF00"/>
          <w:lang w:val="es-AR"/>
        </w:rPr>
        <w:t>​</w:t>
      </w:r>
    </w:p>
    <w:p w:rsidR="00D80279" w:rsidRPr="009675E8" w:rsidRDefault="00D80279" w:rsidP="00D80279">
      <w:pPr>
        <w:pStyle w:val="NormalWeb"/>
        <w:shd w:val="clear" w:color="auto" w:fill="FFFFFF"/>
        <w:rPr>
          <w:rFonts w:asciiTheme="minorHAnsi" w:hAnsiTheme="minorHAnsi"/>
          <w:lang w:val="es-AR"/>
        </w:rPr>
      </w:pPr>
    </w:p>
    <w:p w:rsidR="001546B9" w:rsidRPr="009675E8" w:rsidRDefault="001546B9" w:rsidP="001546B9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  <w:r w:rsidRPr="009675E8">
        <w:rPr>
          <w:rFonts w:asciiTheme="minorHAnsi" w:hAnsiTheme="minorHAnsi" w:cs="Arial"/>
          <w:b/>
          <w:color w:val="000000"/>
          <w:sz w:val="22"/>
          <w:szCs w:val="22"/>
          <w:lang w:val="es-AR"/>
        </w:rPr>
        <w:t>¿Por qué resulta importante este fallo?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Porque con su sentencia la S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uprema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C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orte de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J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usticia de la Provincia de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B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uenos Aires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declara constitucionales los arts. 1 a 4 de la Ley 27.348, como así también el art. 1 de la ley 14.997 de adhesión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a la norma nacional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, poniendo 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en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negro sobre blanco la obligación de agotar previamente la vía administrativa ante las Comisiones Médicas. </w:t>
      </w:r>
    </w:p>
    <w:p w:rsidR="001546B9" w:rsidRPr="009675E8" w:rsidRDefault="001546B9" w:rsidP="001546B9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FC2FF0" w:rsidRPr="009675E8" w:rsidRDefault="00FC2FF0" w:rsidP="007C2C85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Merecen mencionarse algunos aspectos 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muy </w:t>
      </w:r>
      <w:r w:rsidR="00A26CDF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destacables </w:t>
      </w:r>
      <w:r w:rsidR="009675E8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del fallo</w:t>
      </w:r>
    </w:p>
    <w:p w:rsidR="00FC2FF0" w:rsidRPr="009675E8" w:rsidRDefault="00FC2FF0" w:rsidP="00FC2FF0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FC2FF0" w:rsidRPr="00D64C46" w:rsidRDefault="00FC2FF0" w:rsidP="00FC2FF0">
      <w:pPr>
        <w:pStyle w:val="NormalWeb"/>
        <w:shd w:val="clear" w:color="auto" w:fill="FFFFFF"/>
        <w:rPr>
          <w:rFonts w:asciiTheme="minorHAnsi" w:hAnsiTheme="minorHAnsi" w:cs="Arial"/>
          <w:b/>
          <w:color w:val="000000"/>
          <w:sz w:val="22"/>
          <w:szCs w:val="22"/>
          <w:lang w:val="es-AR"/>
        </w:rPr>
      </w:pPr>
      <w:r w:rsidRPr="00D64C46">
        <w:rPr>
          <w:rFonts w:asciiTheme="minorHAnsi" w:hAnsiTheme="minorHAnsi" w:cs="Arial"/>
          <w:b/>
          <w:color w:val="000000"/>
          <w:sz w:val="22"/>
          <w:szCs w:val="22"/>
          <w:lang w:val="es-AR"/>
        </w:rPr>
        <w:t>Voto del Dr. Genoud</w:t>
      </w:r>
    </w:p>
    <w:p w:rsidR="00FC2FF0" w:rsidRPr="009675E8" w:rsidRDefault="00FC2FF0" w:rsidP="00FC2FF0">
      <w:pPr>
        <w:pStyle w:val="NormalWeb"/>
        <w:shd w:val="clear" w:color="auto" w:fill="FFFFFF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FC2FF0" w:rsidRPr="009675E8" w:rsidRDefault="00FC2FF0" w:rsidP="00CE0DB2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Adhesión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: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no es inconstitucional que el legislador haya elegido un método de adhesión remitiéndose al texto de otras leyes, incorporando una norma nacional y anexando su texto al local, siendo ello una técnica funcional que optimiza la producción de leyes. </w:t>
      </w:r>
    </w:p>
    <w:p w:rsidR="007C2C85" w:rsidRPr="009675E8" w:rsidRDefault="007C2C85" w:rsidP="00CE0DB2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FC2FF0" w:rsidRPr="009675E8" w:rsidRDefault="00FC2FF0" w:rsidP="00CE0DB2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Delegación de facultades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: no hay delegación de facultades esenciales del Estado Provincial (administración de Justicia), por cuanto la Ley 15.057 de la provincia, estableció la solución definitiva a las controversias que se podían dar con motivo del art. 1 de la Ley 27.348, ya que son los tribunales locales con competencia en materia laboral que intervienen, no habiendo sustracción alguna a los órganos jurisdiccionales competentes. Se trata de actos administrativos de orden técnico-científico que están sujetos a revisión judicial amplia y plena.</w:t>
      </w:r>
      <w:r w:rsidRPr="009675E8">
        <w:rPr>
          <w:rFonts w:asciiTheme="minorHAnsi" w:hAnsiTheme="minorHAnsi"/>
          <w:lang w:val="es-AR"/>
        </w:rPr>
        <w:t xml:space="preserve"> </w:t>
      </w:r>
    </w:p>
    <w:p w:rsidR="00FC2FF0" w:rsidRPr="009675E8" w:rsidRDefault="00FC2FF0" w:rsidP="00CE0DB2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</w:p>
    <w:p w:rsidR="007C32E5" w:rsidRPr="009675E8" w:rsidRDefault="00FC2FF0" w:rsidP="00CE0DB2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Procedimiento acotado en el tiempo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: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el procedimiento administrativo</w:t>
      </w:r>
      <w:r w:rsidR="00CE0DB2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tiene un plazo acotado en el tiempo que luce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razonab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le y </w:t>
      </w:r>
      <w:r w:rsidR="00CE0DB2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permite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prescindir de pasar por la C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omisión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M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édica </w:t>
      </w:r>
      <w:r w:rsidR="007C32E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C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entral.</w:t>
      </w:r>
    </w:p>
    <w:p w:rsidR="001546B9" w:rsidRPr="009675E8" w:rsidRDefault="007C32E5" w:rsidP="00CE0DB2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</w:t>
      </w:r>
    </w:p>
    <w:p w:rsidR="009675E8" w:rsidRDefault="009675E8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9675E8" w:rsidRDefault="009675E8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9675E8" w:rsidRDefault="009675E8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9675E8" w:rsidRDefault="009675E8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9675E8" w:rsidRDefault="009675E8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CE0DB2" w:rsidRPr="00D64C46" w:rsidRDefault="00CE0DB2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b/>
          <w:color w:val="000000"/>
          <w:sz w:val="22"/>
          <w:szCs w:val="22"/>
          <w:lang w:val="es-AR"/>
        </w:rPr>
      </w:pPr>
      <w:r w:rsidRPr="00D64C46">
        <w:rPr>
          <w:rFonts w:asciiTheme="minorHAnsi" w:hAnsiTheme="minorHAnsi" w:cs="Arial"/>
          <w:b/>
          <w:color w:val="000000"/>
          <w:sz w:val="22"/>
          <w:szCs w:val="22"/>
          <w:lang w:val="es-AR"/>
        </w:rPr>
        <w:t>Voto de la</w:t>
      </w:r>
      <w:r w:rsidR="002B3A40" w:rsidRPr="00D64C46">
        <w:rPr>
          <w:rFonts w:asciiTheme="minorHAnsi" w:hAnsiTheme="minorHAnsi" w:cs="Arial"/>
          <w:b/>
          <w:color w:val="000000"/>
          <w:sz w:val="22"/>
          <w:szCs w:val="22"/>
          <w:lang w:val="es-AR"/>
        </w:rPr>
        <w:t xml:space="preserve"> Dra. Kogan </w:t>
      </w:r>
    </w:p>
    <w:p w:rsidR="00CE0DB2" w:rsidRPr="009675E8" w:rsidRDefault="00CE0DB2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CE0DB2" w:rsidRPr="009675E8" w:rsidRDefault="00CE0DB2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Constitucionalidad de la adhesión y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 xml:space="preserve"> federalismo de concertación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: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no es inconstitucional que una ley provincial adhiera a una ley procesal nacional dado que ello no viola el sistema federal, toda vez que está garantizado y asegurado el propio régimen jurisdiccional en la PBA. </w:t>
      </w:r>
    </w:p>
    <w:p w:rsidR="00CE0DB2" w:rsidRPr="009675E8" w:rsidRDefault="00CE0DB2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CE0DB2" w:rsidRPr="009675E8" w:rsidRDefault="00CE0DB2" w:rsidP="00CE0DB2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Procedimiento ante Comisión Médica y antecedentes de intervención nacional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: el hecho de que las C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omisiones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M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édicas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estén vinculadas a la Superintendencia de Riesgos del Trabajo, señala que no es novedoso que un organismo nacional intervenga en jurisdicción provincial para resolver con carácter previo, mediante actuaciones de naturaleza administrativa, cuestiones vinculadas a accidentes de trabajo o enfermedades profesionales, con obligatoriedad de la denuncia del infortunio y la determinación de la reparación a percibir, la que una vez aceptada causaba cosa juzgada.  Se remonta a antecedentes desde 1949, 1959, 1973 y posteriores, describiendo sucintamente los procedimientos, las formas de pago mediante depósito de la compensación y el efecto de cosa juzgada, citando también jurisprudencia de la misma Corte provincial.</w:t>
      </w:r>
    </w:p>
    <w:p w:rsidR="00CE0DB2" w:rsidRPr="009675E8" w:rsidRDefault="00CE0DB2" w:rsidP="00FC2FF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CE0DB2" w:rsidRPr="009675E8" w:rsidRDefault="00CE0DB2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A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u w:val="single"/>
          <w:lang w:val="es-AR"/>
        </w:rPr>
        <w:t>cceso a la revisión judicial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:</w:t>
      </w:r>
      <w:r w:rsidR="002B3A40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sostiene que no se impide al trabajador el acceso a la jurisdicción sino que supedita ello a agotar una instancia administrativa previa y obligatoria, circunstancia que reviste una finalidad protectora tendiente a asegurar al afectado una más rápida percepción de sus acreencias al establecer un plazo perentorio de 60 días, con una prórroga excepcional y fundada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. </w:t>
      </w:r>
    </w:p>
    <w:p w:rsidR="00CE0DB2" w:rsidRPr="009675E8" w:rsidRDefault="00CE0DB2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C34ECD" w:rsidRPr="009675E8" w:rsidRDefault="00CE0DB2" w:rsidP="00C34ECD">
      <w:pPr>
        <w:pStyle w:val="NormalWeb"/>
        <w:shd w:val="clear" w:color="auto" w:fill="FFFFFF"/>
        <w:jc w:val="both"/>
        <w:rPr>
          <w:rFonts w:asciiTheme="minorHAnsi" w:hAnsiTheme="minorHAnsi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En síntesis,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con este fallo la Suprema Corte de Justicia de la Provincia de Buenos Aires ha puesto fin a los cuestionamientos sobre el procedimiento previo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en Comisiones Médicas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y la adhesión a la ley 27.348 que se suscitaron en la P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rov. de 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B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uenos 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A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ires</w:t>
      </w:r>
      <w:r w:rsidR="00C34ECD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. Es de destacar, además, la importancia de los fallos de la Corte Provincial, dado que hacen casación y son de aplicación obligatoria por parte de los juzgados de instancias inferiores.</w:t>
      </w:r>
    </w:p>
    <w:p w:rsidR="00C34ECD" w:rsidRPr="009675E8" w:rsidRDefault="00C34ECD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9A1C4C" w:rsidRPr="009675E8" w:rsidRDefault="00C34ECD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No sólo esta sentencia</w:t>
      </w:r>
      <w:r w:rsidR="00CE0DB2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da por zanjado un</w:t>
      </w:r>
      <w:r w:rsidR="0060124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largo</w:t>
      </w:r>
      <w:r w:rsidR="00CE0DB2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debate</w:t>
      </w:r>
      <w:r w:rsidR="009A1C4C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,</w:t>
      </w:r>
      <w:r w:rsidR="00162807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dotando de previsibilidad </w:t>
      </w:r>
      <w:r w:rsidR="0060124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y certidumbre a la administración de justicia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en la Provincia de Buenos Aires, sino que además exhibe una clara sintonía con los fallos de la Corte Suprema de Justicia de la Nación que a lo largo de los últimos dos años ha hecho una lectura muy positiva de los aspectos más destacados de la Ley 27.348. </w:t>
      </w:r>
    </w:p>
    <w:p w:rsidR="009A1C4C" w:rsidRPr="009675E8" w:rsidRDefault="009A1C4C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2B3A40" w:rsidRDefault="009A1C4C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Ante un nuevo escenario impuesto por la crisis del COVID-19, cargado de incertidumbre y de mayores costos para el sistema laboral argentino</w:t>
      </w:r>
      <w:r w:rsid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y en él el de Riesgos del Trabajo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, y la reversión de la tendencia bajista en los números de la litigiosidad observada a fines de 2019, resulta más que nunca imperiosa la necesidad de constituir los Cuerpos Médicos Forenses. Su existencia aseguraría un control especializado y por parte de profesionales </w:t>
      </w:r>
      <w:r w:rsidR="00553A2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de la </w:t>
      </w:r>
      <w:r w:rsidR="007C2C85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tarea pericial </w:t>
      </w:r>
      <w:r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elegidos por concurso, privilegiando el uso adecuado del Baremo y desacoplando los honorarios de los peritos hoy atados al monto de la sentencia. </w:t>
      </w:r>
      <w:r w:rsidR="00136C3A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De esta manera</w:t>
      </w:r>
      <w:r w:rsidR="009675E8">
        <w:rPr>
          <w:rFonts w:asciiTheme="minorHAnsi" w:hAnsiTheme="minorHAnsi" w:cs="Arial"/>
          <w:color w:val="000000"/>
          <w:sz w:val="22"/>
          <w:szCs w:val="22"/>
          <w:lang w:val="es-AR"/>
        </w:rPr>
        <w:t>,</w:t>
      </w:r>
      <w:r w:rsidR="00136C3A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se cerraría lo dispuesto en la reforma de 2017 y el sistema gestionaría las controversias de manera armónica entre lo administrativo y lo judicial</w:t>
      </w:r>
      <w:r w:rsidR="00553A2B" w:rsidRPr="009675E8">
        <w:rPr>
          <w:rFonts w:asciiTheme="minorHAnsi" w:hAnsiTheme="minorHAnsi" w:cs="Arial"/>
          <w:color w:val="000000"/>
          <w:sz w:val="22"/>
          <w:szCs w:val="22"/>
          <w:lang w:val="es-AR"/>
        </w:rPr>
        <w:t>.</w:t>
      </w:r>
    </w:p>
    <w:p w:rsidR="00D64C46" w:rsidRDefault="00D64C46" w:rsidP="002B3A40">
      <w:pPr>
        <w:pStyle w:val="NormalWeb"/>
        <w:shd w:val="clear" w:color="auto" w:fill="FFFFFF"/>
        <w:jc w:val="both"/>
        <w:rPr>
          <w:rFonts w:asciiTheme="minorHAnsi" w:hAnsiTheme="minorHAnsi" w:cs="Arial"/>
          <w:color w:val="000000"/>
          <w:sz w:val="22"/>
          <w:szCs w:val="22"/>
          <w:lang w:val="es-AR"/>
        </w:rPr>
      </w:pPr>
    </w:p>
    <w:p w:rsidR="00D64C46" w:rsidRPr="009675E8" w:rsidRDefault="00D64C46" w:rsidP="002B3A40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es-AR"/>
        </w:rPr>
      </w:pPr>
      <w:r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Para más datos de prensa contactarse con Mediática Prensa a </w:t>
      </w:r>
      <w:hyperlink r:id="rId7" w:history="1">
        <w:r w:rsidRPr="008A2B99">
          <w:rPr>
            <w:rStyle w:val="Hipervnculo"/>
            <w:rFonts w:asciiTheme="minorHAnsi" w:hAnsiTheme="minorHAnsi" w:cs="Arial"/>
            <w:sz w:val="22"/>
            <w:szCs w:val="22"/>
            <w:lang w:val="es-AR"/>
          </w:rPr>
          <w:t>ls@mediaticaprensa.com.ar</w:t>
        </w:r>
      </w:hyperlink>
      <w:r>
        <w:rPr>
          <w:rFonts w:asciiTheme="minorHAnsi" w:hAnsiTheme="minorHAnsi" w:cs="Arial"/>
          <w:color w:val="000000"/>
          <w:sz w:val="22"/>
          <w:szCs w:val="22"/>
          <w:lang w:val="es-AR"/>
        </w:rPr>
        <w:t xml:space="preserve"> o al 1145409242</w:t>
      </w:r>
    </w:p>
    <w:p w:rsidR="00D80279" w:rsidRPr="009675E8" w:rsidRDefault="00D80279" w:rsidP="00D80279">
      <w:pPr>
        <w:pStyle w:val="NormalWeb"/>
        <w:shd w:val="clear" w:color="auto" w:fill="FFFFFF"/>
        <w:rPr>
          <w:lang w:val="es-AR"/>
        </w:rPr>
      </w:pPr>
    </w:p>
    <w:p w:rsidR="00D80279" w:rsidRPr="009675E8" w:rsidRDefault="00D80279" w:rsidP="00BD47DD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  <w:lang w:val="es-AR"/>
        </w:rPr>
      </w:pPr>
    </w:p>
    <w:p w:rsidR="00D80279" w:rsidRPr="009675E8" w:rsidRDefault="00D80279" w:rsidP="00BD47DD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  <w:lang w:val="es-AR"/>
        </w:rPr>
      </w:pPr>
    </w:p>
    <w:sectPr w:rsidR="00D80279" w:rsidRPr="009675E8" w:rsidSect="00264F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60" w:rsidRDefault="00423D60" w:rsidP="009675E8">
      <w:pPr>
        <w:spacing w:after="0" w:line="240" w:lineRule="auto"/>
      </w:pPr>
      <w:r>
        <w:separator/>
      </w:r>
    </w:p>
  </w:endnote>
  <w:endnote w:type="continuationSeparator" w:id="0">
    <w:p w:rsidR="00423D60" w:rsidRDefault="00423D60" w:rsidP="0096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60" w:rsidRDefault="00423D60" w:rsidP="009675E8">
      <w:pPr>
        <w:spacing w:after="0" w:line="240" w:lineRule="auto"/>
      </w:pPr>
      <w:r>
        <w:separator/>
      </w:r>
    </w:p>
  </w:footnote>
  <w:footnote w:type="continuationSeparator" w:id="0">
    <w:p w:rsidR="00423D60" w:rsidRDefault="00423D60" w:rsidP="0096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E8" w:rsidRDefault="009675E8">
    <w:pPr>
      <w:pStyle w:val="Encabezado"/>
    </w:pPr>
    <w:r w:rsidRPr="009675E8">
      <w:rPr>
        <w:noProof/>
        <w:lang w:val="es-AR" w:eastAsia="es-AR"/>
      </w:rPr>
      <w:drawing>
        <wp:inline distT="0" distB="0" distL="0" distR="0">
          <wp:extent cx="1227330" cy="406736"/>
          <wp:effectExtent l="19050" t="0" r="0" b="0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39" cy="4090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B7642"/>
    <w:multiLevelType w:val="hybridMultilevel"/>
    <w:tmpl w:val="12524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47DD"/>
    <w:rsid w:val="00136C3A"/>
    <w:rsid w:val="001546B9"/>
    <w:rsid w:val="00162807"/>
    <w:rsid w:val="00256772"/>
    <w:rsid w:val="00264F6E"/>
    <w:rsid w:val="002B3A40"/>
    <w:rsid w:val="003C6A3F"/>
    <w:rsid w:val="00423D60"/>
    <w:rsid w:val="004621DD"/>
    <w:rsid w:val="00517839"/>
    <w:rsid w:val="00553A2B"/>
    <w:rsid w:val="005B442A"/>
    <w:rsid w:val="005F543D"/>
    <w:rsid w:val="0060124B"/>
    <w:rsid w:val="006D478C"/>
    <w:rsid w:val="007C2C85"/>
    <w:rsid w:val="007C32E5"/>
    <w:rsid w:val="00820471"/>
    <w:rsid w:val="009675E8"/>
    <w:rsid w:val="009A1C4C"/>
    <w:rsid w:val="00A26CDF"/>
    <w:rsid w:val="00BD47DD"/>
    <w:rsid w:val="00C34ECD"/>
    <w:rsid w:val="00CE0DB2"/>
    <w:rsid w:val="00D64C46"/>
    <w:rsid w:val="00D80279"/>
    <w:rsid w:val="00FC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7DD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67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75E8"/>
  </w:style>
  <w:style w:type="paragraph" w:styleId="Piedepgina">
    <w:name w:val="footer"/>
    <w:basedOn w:val="Normal"/>
    <w:link w:val="PiedepginaCar"/>
    <w:uiPriority w:val="99"/>
    <w:semiHidden/>
    <w:unhideWhenUsed/>
    <w:rsid w:val="00967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75E8"/>
  </w:style>
  <w:style w:type="paragraph" w:styleId="Textodeglobo">
    <w:name w:val="Balloon Text"/>
    <w:basedOn w:val="Normal"/>
    <w:link w:val="TextodegloboCar"/>
    <w:uiPriority w:val="99"/>
    <w:semiHidden/>
    <w:unhideWhenUsed/>
    <w:rsid w:val="0096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64C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@mediaticaprensa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INES SCALA</dc:creator>
  <cp:lastModifiedBy>Usuario</cp:lastModifiedBy>
  <cp:revision>4</cp:revision>
  <dcterms:created xsi:type="dcterms:W3CDTF">2020-05-18T23:48:00Z</dcterms:created>
  <dcterms:modified xsi:type="dcterms:W3CDTF">2020-05-21T15:38:00Z</dcterms:modified>
</cp:coreProperties>
</file>